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1A135568"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0C28A5">
        <w:rPr>
          <w:rFonts w:cstheme="minorHAnsi"/>
        </w:rPr>
        <w:t xml:space="preserve"> </w:t>
      </w:r>
      <w:r w:rsidR="002557F6">
        <w:rPr>
          <w:rFonts w:cstheme="minorHAnsi"/>
        </w:rPr>
        <w:t>22</w:t>
      </w:r>
      <w:r w:rsidR="00C52728">
        <w:rPr>
          <w:rFonts w:cstheme="minorHAnsi"/>
        </w:rPr>
        <w:t>.06</w:t>
      </w:r>
      <w:r w:rsidR="00D234F4" w:rsidRPr="008334FA">
        <w:rPr>
          <w:rFonts w:cstheme="minorHAnsi"/>
        </w:rPr>
        <w:t>.2021</w:t>
      </w:r>
      <w:r w:rsidR="007C610C" w:rsidRPr="008334FA">
        <w:rPr>
          <w:rFonts w:cstheme="minorHAnsi"/>
        </w:rPr>
        <w:t xml:space="preserve"> r.</w:t>
      </w:r>
    </w:p>
    <w:p w14:paraId="4FD481AA" w14:textId="3D1F366D"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5E5D56">
        <w:rPr>
          <w:rFonts w:cstheme="minorHAnsi"/>
          <w:b/>
          <w:bCs/>
        </w:rPr>
        <w:t>.</w:t>
      </w:r>
      <w:r w:rsidR="00EF6FAC" w:rsidRPr="005E5D56">
        <w:rPr>
          <w:rFonts w:cstheme="minorHAnsi"/>
          <w:b/>
          <w:bCs/>
        </w:rPr>
        <w:t>2</w:t>
      </w:r>
      <w:r w:rsidR="0096256F">
        <w:rPr>
          <w:rFonts w:cstheme="minorHAnsi"/>
          <w:b/>
          <w:bCs/>
        </w:rPr>
        <w:t>5</w:t>
      </w:r>
      <w:r w:rsidR="001652E5" w:rsidRPr="005E5D56">
        <w:rPr>
          <w:rFonts w:cstheme="minorHAnsi"/>
          <w:b/>
          <w:bCs/>
        </w:rPr>
        <w:t>.</w:t>
      </w:r>
      <w:r w:rsidRPr="005E5D56">
        <w:rPr>
          <w:rFonts w:cstheme="minorHAnsi"/>
          <w:b/>
          <w:bCs/>
        </w:rPr>
        <w:t>20</w:t>
      </w:r>
      <w:r w:rsidR="002215C8" w:rsidRPr="005E5D56">
        <w:rPr>
          <w:rFonts w:cstheme="minorHAnsi"/>
          <w:b/>
          <w:bCs/>
        </w:rPr>
        <w:t>2</w:t>
      </w:r>
      <w:r w:rsidR="00353280" w:rsidRPr="005E5D56">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4C59EB18" w14:textId="338871D7" w:rsidR="0062502E" w:rsidRPr="0062502E" w:rsidRDefault="00C0721E" w:rsidP="0062502E">
      <w:pPr>
        <w:widowControl w:val="0"/>
        <w:autoSpaceDE w:val="0"/>
        <w:autoSpaceDN w:val="0"/>
        <w:jc w:val="center"/>
        <w:rPr>
          <w:rFonts w:cstheme="minorHAnsi"/>
          <w:b/>
          <w:kern w:val="28"/>
          <w:sz w:val="36"/>
          <w:szCs w:val="36"/>
        </w:rPr>
      </w:pPr>
      <w:r w:rsidRPr="0062502E">
        <w:rPr>
          <w:rFonts w:cstheme="minorHAnsi"/>
        </w:rPr>
        <w:t>(podstawa prawna</w:t>
      </w:r>
      <w:r w:rsidR="0062502E" w:rsidRPr="0062502E">
        <w:rPr>
          <w:rFonts w:cstheme="minorHAnsi"/>
        </w:rPr>
        <w:t xml:space="preserve">: </w:t>
      </w:r>
      <w:r w:rsidR="0062502E" w:rsidRPr="0062502E">
        <w:rPr>
          <w:rFonts w:cstheme="minorHAnsi"/>
          <w:shd w:val="clear" w:color="auto" w:fill="FFFFFF"/>
        </w:rPr>
        <w:t xml:space="preserve">art. 7 pkt 35 </w:t>
      </w:r>
      <w:r w:rsidR="0062502E" w:rsidRPr="0062502E">
        <w:rPr>
          <w:rFonts w:cstheme="minorHAnsi"/>
        </w:rPr>
        <w:t>ustawy z 11 września 2019 r. Prawo zamówień publicznych)</w:t>
      </w:r>
    </w:p>
    <w:p w14:paraId="1BB6091F" w14:textId="761B9D66" w:rsidR="00C0721E" w:rsidRPr="008334FA" w:rsidRDefault="00C0721E" w:rsidP="007B659A">
      <w:pPr>
        <w:widowControl w:val="0"/>
        <w:autoSpaceDE w:val="0"/>
        <w:autoSpaceDN w:val="0"/>
        <w:spacing w:after="0" w:line="240" w:lineRule="auto"/>
        <w:jc w:val="center"/>
        <w:rPr>
          <w:rFonts w:cstheme="minorHAnsi"/>
          <w:b/>
          <w:kern w:val="28"/>
        </w:rPr>
      </w:pP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65793AE5" w14:textId="055E85BB" w:rsidR="00C0721E" w:rsidRPr="007A5B2C" w:rsidRDefault="00C0721E" w:rsidP="007A6441">
      <w:pPr>
        <w:spacing w:line="276" w:lineRule="auto"/>
        <w:jc w:val="both"/>
        <w:rPr>
          <w:rFonts w:cstheme="minorHAnsi"/>
          <w:b/>
          <w:kern w:val="28"/>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xml:space="preserve">, zaprasza do złożenia oferty dla zamówienia pn. </w:t>
      </w:r>
      <w:r w:rsidR="007A5B2C" w:rsidRPr="007A5B2C">
        <w:rPr>
          <w:rFonts w:cstheme="minorHAnsi"/>
          <w:b/>
          <w:kern w:val="28"/>
        </w:rPr>
        <w:t>„</w:t>
      </w:r>
      <w:r w:rsidR="00150076" w:rsidRPr="00150076">
        <w:rPr>
          <w:rFonts w:cstheme="minorHAnsi"/>
          <w:b/>
          <w:kern w:val="28"/>
        </w:rPr>
        <w:t>Naprawa  i zabezpieczenie powierzchni betonowych korony komory defosfatacji</w:t>
      </w:r>
      <w:r w:rsidR="007A5B2C" w:rsidRPr="007A5B2C">
        <w:rPr>
          <w:rFonts w:cstheme="minorHAnsi"/>
          <w:b/>
          <w:kern w:val="28"/>
        </w:rPr>
        <w:t>”.</w:t>
      </w:r>
    </w:p>
    <w:p w14:paraId="76D540A0" w14:textId="77777777" w:rsidR="00C0721E" w:rsidRPr="008334FA" w:rsidRDefault="00C0721E" w:rsidP="007B659A">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11FD38B4" w14:textId="747AE604" w:rsidR="00A53AB1" w:rsidRPr="007A5B2C" w:rsidRDefault="00C0721E" w:rsidP="007A6441">
      <w:pPr>
        <w:spacing w:line="276" w:lineRule="auto"/>
        <w:jc w:val="both"/>
        <w:rPr>
          <w:rFonts w:cstheme="minorHAnsi"/>
          <w:b/>
          <w:kern w:val="28"/>
        </w:rPr>
      </w:pPr>
      <w:r w:rsidRPr="008334FA">
        <w:rPr>
          <w:rFonts w:eastAsia="Calibri" w:cstheme="minorHAnsi"/>
          <w:bCs/>
          <w:kern w:val="28"/>
        </w:rPr>
        <w:t xml:space="preserve">Nazwa zadania: </w:t>
      </w:r>
      <w:r w:rsidR="00A53AB1" w:rsidRPr="007A5B2C">
        <w:rPr>
          <w:rFonts w:cstheme="minorHAnsi"/>
          <w:b/>
          <w:kern w:val="28"/>
        </w:rPr>
        <w:t>„</w:t>
      </w:r>
      <w:r w:rsidR="00150076" w:rsidRPr="00150076">
        <w:rPr>
          <w:rFonts w:cstheme="minorHAnsi"/>
          <w:b/>
          <w:kern w:val="28"/>
        </w:rPr>
        <w:t>Naprawa  i zabezpieczenie powierzchni betonowych korony komory defosfatacji</w:t>
      </w:r>
      <w:r w:rsidR="00A53AB1" w:rsidRPr="007A5B2C">
        <w:rPr>
          <w:rFonts w:cstheme="minorHAnsi"/>
          <w:b/>
          <w:kern w:val="28"/>
        </w:rPr>
        <w:t>”.</w:t>
      </w:r>
    </w:p>
    <w:p w14:paraId="6F7C3B0E" w14:textId="3A75017F" w:rsidR="00C0721E" w:rsidRPr="008334FA" w:rsidRDefault="001A4204" w:rsidP="007A6441">
      <w:pPr>
        <w:spacing w:line="276" w:lineRule="auto"/>
        <w:jc w:val="both"/>
        <w:rPr>
          <w:rFonts w:eastAsia="SimSun" w:cstheme="minorHAnsi"/>
          <w:color w:val="000000"/>
          <w:lang w:val="x-none" w:eastAsia="ar-SA"/>
        </w:rPr>
      </w:pPr>
      <w:r w:rsidRPr="008334FA">
        <w:rPr>
          <w:rFonts w:eastAsia="SimSun" w:cstheme="minorHAnsi"/>
          <w:color w:val="000000"/>
          <w:lang w:eastAsia="ar-SA"/>
        </w:rPr>
        <w:br/>
      </w:r>
      <w:r w:rsidR="00C0721E" w:rsidRPr="008334FA">
        <w:rPr>
          <w:rFonts w:eastAsia="SimSun" w:cstheme="minorHAnsi"/>
          <w:color w:val="000000"/>
          <w:lang w:eastAsia="ar-SA"/>
        </w:rPr>
        <w:t>Przedmiot</w:t>
      </w:r>
      <w:r w:rsidR="00C0721E" w:rsidRPr="008334FA">
        <w:rPr>
          <w:rFonts w:eastAsia="SimSun" w:cstheme="minorHAnsi"/>
          <w:color w:val="000000"/>
          <w:lang w:val="x-none" w:eastAsia="ar-SA"/>
        </w:rPr>
        <w:t xml:space="preserve"> zamówienia wg Wspólnego Słownika Zamówień (CPV):</w:t>
      </w:r>
    </w:p>
    <w:p w14:paraId="75456962" w14:textId="4983400E" w:rsidR="00C1623D" w:rsidRPr="008334FA" w:rsidRDefault="00C1623D" w:rsidP="00C1623D">
      <w:pPr>
        <w:widowControl w:val="0"/>
        <w:tabs>
          <w:tab w:val="left" w:pos="357"/>
          <w:tab w:val="left" w:pos="397"/>
        </w:tabs>
        <w:suppressAutoHyphens/>
        <w:autoSpaceDE w:val="0"/>
        <w:snapToGrid w:val="0"/>
        <w:spacing w:after="0" w:line="276" w:lineRule="auto"/>
        <w:rPr>
          <w:rFonts w:cstheme="minorHAnsi"/>
        </w:rPr>
      </w:pPr>
      <w:r w:rsidRPr="005D7C4C">
        <w:t>45453000-7 Roboty remontowe i renowacyjne</w:t>
      </w:r>
      <w:r w:rsidR="00017429" w:rsidRPr="008334FA">
        <w:rPr>
          <w:rFonts w:eastAsia="Times New Roman" w:cstheme="minorHAnsi"/>
          <w:bCs/>
          <w:iCs/>
          <w:lang w:eastAsia="pl-PL"/>
        </w:rPr>
        <w:br/>
      </w:r>
    </w:p>
    <w:p w14:paraId="0D637634" w14:textId="6B055E46" w:rsidR="00203D63" w:rsidRPr="00DF7A95" w:rsidRDefault="00E97EEA" w:rsidP="00DF7A95">
      <w:pPr>
        <w:pStyle w:val="Akapitzlist"/>
        <w:numPr>
          <w:ilvl w:val="0"/>
          <w:numId w:val="38"/>
        </w:numPr>
        <w:rPr>
          <w:vertAlign w:val="superscript"/>
        </w:rPr>
      </w:pPr>
      <w:r w:rsidRPr="00CD1754">
        <w:t>Prognozowana p</w:t>
      </w:r>
      <w:r w:rsidR="00203D63">
        <w:t>owierzchnia naprawy ok. 260 m</w:t>
      </w:r>
      <w:r w:rsidR="00203D63" w:rsidRPr="00DF7A95">
        <w:rPr>
          <w:vertAlign w:val="superscript"/>
        </w:rPr>
        <w:t>2</w:t>
      </w:r>
      <w:r w:rsidR="00DF7A95" w:rsidRPr="00DF7A95">
        <w:rPr>
          <w:vertAlign w:val="superscript"/>
        </w:rPr>
        <w:t xml:space="preserve"> </w:t>
      </w:r>
      <w:r w:rsidR="0015664D">
        <w:t>.</w:t>
      </w:r>
    </w:p>
    <w:p w14:paraId="3BBA52B4" w14:textId="6A467B5E" w:rsidR="00203D63" w:rsidRDefault="00203D63" w:rsidP="00CD1754">
      <w:pPr>
        <w:spacing w:line="276" w:lineRule="auto"/>
      </w:pPr>
      <w:r w:rsidRPr="004B6F20">
        <w:t>Na powierzchnię naprawy sk</w:t>
      </w:r>
      <w:r>
        <w:t>ład</w:t>
      </w:r>
      <w:r w:rsidR="00DF7A95">
        <w:t>ają</w:t>
      </w:r>
      <w:r w:rsidRPr="004B6F20">
        <w:t xml:space="preserve"> się</w:t>
      </w:r>
      <w:r>
        <w:t>:</w:t>
      </w:r>
    </w:p>
    <w:p w14:paraId="76038480" w14:textId="29F6EDBA" w:rsidR="00203D63" w:rsidRDefault="00DF7A95" w:rsidP="00CD1754">
      <w:pPr>
        <w:numPr>
          <w:ilvl w:val="0"/>
          <w:numId w:val="36"/>
        </w:numPr>
        <w:spacing w:after="0" w:line="276" w:lineRule="auto"/>
      </w:pPr>
      <w:r>
        <w:t>p</w:t>
      </w:r>
      <w:r w:rsidR="00203D63">
        <w:t>łaszczyzny  poziome komory defosfatacji</w:t>
      </w:r>
      <w:r>
        <w:t>,</w:t>
      </w:r>
    </w:p>
    <w:p w14:paraId="7FFF1CC8" w14:textId="15F2066F" w:rsidR="00203D63" w:rsidRDefault="00DF7A95" w:rsidP="00CD1754">
      <w:pPr>
        <w:numPr>
          <w:ilvl w:val="0"/>
          <w:numId w:val="36"/>
        </w:numPr>
        <w:spacing w:after="0" w:line="276" w:lineRule="auto"/>
      </w:pPr>
      <w:r>
        <w:t>p</w:t>
      </w:r>
      <w:r w:rsidR="00203D63">
        <w:t>łaszczyzny pionowe gzymsów komory defosfatacji</w:t>
      </w:r>
      <w:r>
        <w:t>,</w:t>
      </w:r>
    </w:p>
    <w:p w14:paraId="79000F47" w14:textId="58EE46CC" w:rsidR="00203D63" w:rsidRDefault="00DF7A95" w:rsidP="00CD1754">
      <w:pPr>
        <w:numPr>
          <w:ilvl w:val="0"/>
          <w:numId w:val="36"/>
        </w:numPr>
        <w:spacing w:after="0" w:line="276" w:lineRule="auto"/>
      </w:pPr>
      <w:r>
        <w:t>p</w:t>
      </w:r>
      <w:r w:rsidR="00203D63">
        <w:t>łaszczyzny pionowe ścian zewnętrznych do głębokości 20 cm poniżej poziomu terenu</w:t>
      </w:r>
      <w:r>
        <w:t>.</w:t>
      </w:r>
    </w:p>
    <w:p w14:paraId="2F17A90B" w14:textId="77777777" w:rsidR="00203D63" w:rsidRDefault="00203D63" w:rsidP="00CD1754">
      <w:pPr>
        <w:pStyle w:val="Akapitzlist"/>
        <w:numPr>
          <w:ilvl w:val="0"/>
          <w:numId w:val="38"/>
        </w:numPr>
        <w:spacing w:after="0" w:line="276" w:lineRule="auto"/>
      </w:pPr>
      <w:r w:rsidRPr="00F77B31">
        <w:t>Zakres robót:</w:t>
      </w:r>
    </w:p>
    <w:p w14:paraId="39BCE343" w14:textId="7A9A7560" w:rsidR="00203D63" w:rsidRDefault="00203D63" w:rsidP="00CD1754">
      <w:pPr>
        <w:numPr>
          <w:ilvl w:val="0"/>
          <w:numId w:val="35"/>
        </w:numPr>
        <w:spacing w:after="0" w:line="276" w:lineRule="auto"/>
      </w:pPr>
      <w:r>
        <w:t>zabezpieczenie bezpiecznego wykonania robót- odpowiednie wyposażenie, zabezpieczenie pracowników Wykonawcy, zabezpieczenie rusztowań, itp.,</w:t>
      </w:r>
    </w:p>
    <w:p w14:paraId="1E675A22" w14:textId="1295F04B" w:rsidR="00203D63" w:rsidRDefault="00203D63" w:rsidP="00CD1754">
      <w:pPr>
        <w:numPr>
          <w:ilvl w:val="0"/>
          <w:numId w:val="35"/>
        </w:numPr>
        <w:spacing w:after="0" w:line="276" w:lineRule="auto"/>
      </w:pPr>
      <w:r>
        <w:t>skucie odparzonej warstwy betonu do warstwy trwałej konstrukcji  - ok. 100 %,</w:t>
      </w:r>
    </w:p>
    <w:p w14:paraId="7DF98731" w14:textId="77777777" w:rsidR="00203D63" w:rsidRDefault="00203D63" w:rsidP="00CD1754">
      <w:pPr>
        <w:numPr>
          <w:ilvl w:val="0"/>
          <w:numId w:val="35"/>
        </w:numPr>
        <w:spacing w:after="0" w:line="276" w:lineRule="auto"/>
      </w:pPr>
      <w:r>
        <w:t>usunięcie za pomocą obróbki ściernej lub mycia ciśnieniowego luźno związanych elementów betonu</w:t>
      </w:r>
    </w:p>
    <w:p w14:paraId="68C44F85" w14:textId="1D303B66" w:rsidR="00203D63" w:rsidRDefault="00203D63" w:rsidP="00CD1754">
      <w:pPr>
        <w:numPr>
          <w:ilvl w:val="0"/>
          <w:numId w:val="35"/>
        </w:numPr>
        <w:spacing w:after="0" w:line="276" w:lineRule="auto"/>
      </w:pPr>
      <w:r>
        <w:t>odpylenie powierzchni,</w:t>
      </w:r>
    </w:p>
    <w:p w14:paraId="4E2B90BC" w14:textId="5E637CD6" w:rsidR="00203D63" w:rsidRDefault="00203D63" w:rsidP="00CD1754">
      <w:pPr>
        <w:numPr>
          <w:ilvl w:val="0"/>
          <w:numId w:val="35"/>
        </w:numPr>
        <w:spacing w:after="0" w:line="276" w:lineRule="auto"/>
      </w:pPr>
      <w:r>
        <w:t>naprawa i zabezpieczenie  antykorozyjne odsłoniętych prętów zbrojeniowych,</w:t>
      </w:r>
    </w:p>
    <w:p w14:paraId="785C59F4" w14:textId="29B91435" w:rsidR="00203D63" w:rsidRDefault="00203D63" w:rsidP="00CD1754">
      <w:pPr>
        <w:numPr>
          <w:ilvl w:val="0"/>
          <w:numId w:val="35"/>
        </w:numPr>
        <w:spacing w:after="0" w:line="276" w:lineRule="auto"/>
      </w:pPr>
      <w:r>
        <w:t>naprawa pęknięć metodami iniekcji lub wypełnienie  szczelin zaprawami naprawczymi (jeśli konieczne),</w:t>
      </w:r>
    </w:p>
    <w:p w14:paraId="09F3E7CB" w14:textId="5514F418" w:rsidR="00203D63" w:rsidRDefault="00203D63" w:rsidP="00CD1754">
      <w:pPr>
        <w:numPr>
          <w:ilvl w:val="0"/>
          <w:numId w:val="35"/>
        </w:numPr>
        <w:spacing w:after="0" w:line="276" w:lineRule="auto"/>
      </w:pPr>
      <w:r>
        <w:t>n</w:t>
      </w:r>
      <w:r w:rsidRPr="00F77B31">
        <w:t>ałożenie warstwy szczepnej z kompozytów polimerowych  z wypełniaczami mineralnymi</w:t>
      </w:r>
      <w:r>
        <w:t>,</w:t>
      </w:r>
    </w:p>
    <w:p w14:paraId="6D101DDA" w14:textId="1FE526F8" w:rsidR="00203D63" w:rsidRDefault="00203D63" w:rsidP="00CD1754">
      <w:pPr>
        <w:numPr>
          <w:ilvl w:val="0"/>
          <w:numId w:val="35"/>
        </w:numPr>
        <w:spacing w:after="0" w:line="276" w:lineRule="auto"/>
      </w:pPr>
      <w:r>
        <w:t>r</w:t>
      </w:r>
      <w:r w:rsidRPr="00F77B31">
        <w:t>eprofilacja ubytków i wyrównanie powierzchni mieszankami  z kompozytów polimerowych z</w:t>
      </w:r>
      <w:r>
        <w:t> </w:t>
      </w:r>
      <w:r w:rsidRPr="00F77B31">
        <w:t>wypełniaczami mineralnymi</w:t>
      </w:r>
      <w:r>
        <w:t>,</w:t>
      </w:r>
      <w:r w:rsidRPr="00F77B31">
        <w:t xml:space="preserve"> </w:t>
      </w:r>
    </w:p>
    <w:p w14:paraId="1E561C7F" w14:textId="3514C14D" w:rsidR="00203D63" w:rsidRDefault="00203D63" w:rsidP="00CD1754">
      <w:pPr>
        <w:numPr>
          <w:ilvl w:val="0"/>
          <w:numId w:val="35"/>
        </w:numPr>
        <w:spacing w:after="0" w:line="276" w:lineRule="auto"/>
      </w:pPr>
      <w:r>
        <w:t>wklejenie tkaniny szklanej w żywicę,</w:t>
      </w:r>
    </w:p>
    <w:p w14:paraId="689007FB" w14:textId="34B2F7C6" w:rsidR="00203D63" w:rsidRDefault="00203D63" w:rsidP="00203D63">
      <w:pPr>
        <w:numPr>
          <w:ilvl w:val="0"/>
          <w:numId w:val="35"/>
        </w:numPr>
        <w:spacing w:after="0" w:line="240" w:lineRule="auto"/>
      </w:pPr>
      <w:r>
        <w:lastRenderedPageBreak/>
        <w:t>wykonanie warstwy powierzchniowej chemoodpornej z materiałów opartych na żywicach epoksydowych odporną na warunki panujące na obiekcie tj. duża wilgotność, agresywne opary zawierające siarkowodór;</w:t>
      </w:r>
    </w:p>
    <w:p w14:paraId="788F0BD6" w14:textId="4EF70973" w:rsidR="00203D63" w:rsidRDefault="00203D63" w:rsidP="00203D63">
      <w:pPr>
        <w:spacing w:after="0"/>
        <w:ind w:left="720"/>
      </w:pPr>
      <w:r>
        <w:t>Grubość warstwy chemoodpornej nie mniejsza niż 500 µm,</w:t>
      </w:r>
    </w:p>
    <w:p w14:paraId="22C600E9" w14:textId="53F647DF" w:rsidR="00203D63" w:rsidRDefault="00203D63" w:rsidP="00E97EEA">
      <w:pPr>
        <w:numPr>
          <w:ilvl w:val="0"/>
          <w:numId w:val="35"/>
        </w:numPr>
        <w:spacing w:line="240" w:lineRule="auto"/>
      </w:pPr>
      <w:r>
        <w:t>wykonie niezbędnych dylatacji materiałem trwale elastycznym.</w:t>
      </w:r>
    </w:p>
    <w:p w14:paraId="2A301CBD" w14:textId="480CAD6B" w:rsidR="00DF7A95" w:rsidRDefault="00DF7A95" w:rsidP="00DF7A95">
      <w:pPr>
        <w:pStyle w:val="Akapitzlist"/>
        <w:numPr>
          <w:ilvl w:val="0"/>
          <w:numId w:val="38"/>
        </w:numPr>
        <w:spacing w:after="0" w:line="240" w:lineRule="auto"/>
      </w:pPr>
      <w:r>
        <w:t>Wymagania Zamawiającego:</w:t>
      </w:r>
    </w:p>
    <w:p w14:paraId="3199267B" w14:textId="333AD116" w:rsidR="00DF7A95" w:rsidRPr="00CD1754" w:rsidRDefault="00DF7A95" w:rsidP="00DF7A95">
      <w:pPr>
        <w:pStyle w:val="Akapitzlist"/>
        <w:numPr>
          <w:ilvl w:val="0"/>
          <w:numId w:val="39"/>
        </w:numPr>
      </w:pPr>
      <w:r w:rsidRPr="00CD1754">
        <w:t>gwarancja na wykonane prace - nie mniej niż 36  m-cy,</w:t>
      </w:r>
      <w:r w:rsidR="004E11FC" w:rsidRPr="00CD1754">
        <w:t xml:space="preserve"> licząc od daty podpisania </w:t>
      </w:r>
      <w:r w:rsidR="00CD1754">
        <w:t xml:space="preserve">końcowego </w:t>
      </w:r>
      <w:r w:rsidR="004E11FC" w:rsidRPr="00CD1754">
        <w:t>protokołu odbioru robót</w:t>
      </w:r>
      <w:r w:rsidR="00CD1754">
        <w:t xml:space="preserve"> bez uwag</w:t>
      </w:r>
      <w:r w:rsidR="004E11FC" w:rsidRPr="00CD1754">
        <w:t>,</w:t>
      </w:r>
    </w:p>
    <w:p w14:paraId="47909DB4" w14:textId="7FA949C3" w:rsidR="00DF7A95" w:rsidRDefault="00DF7A95" w:rsidP="00E97EEA">
      <w:pPr>
        <w:pStyle w:val="Akapitzlist"/>
        <w:numPr>
          <w:ilvl w:val="0"/>
          <w:numId w:val="39"/>
        </w:numPr>
        <w:spacing w:before="240" w:after="0"/>
      </w:pPr>
      <w:r>
        <w:t>maksymalny dopuszczalny czas wyłączenia obiektu z eksploatacji wynosi 21-dób.</w:t>
      </w:r>
      <w:r w:rsidR="00E97EEA">
        <w:br/>
      </w:r>
    </w:p>
    <w:p w14:paraId="6CA6C440" w14:textId="54BE4C66" w:rsidR="00DF7A95" w:rsidRDefault="0056711B" w:rsidP="00E97EEA">
      <w:pPr>
        <w:pStyle w:val="Akapitzlist"/>
        <w:numPr>
          <w:ilvl w:val="0"/>
          <w:numId w:val="40"/>
        </w:numPr>
        <w:spacing w:after="0"/>
      </w:pPr>
      <w:r>
        <w:t>Zamawiający zabezpieczy:</w:t>
      </w:r>
    </w:p>
    <w:p w14:paraId="7DF278E4" w14:textId="1CCEA996" w:rsidR="0056711B" w:rsidRDefault="0056711B" w:rsidP="0056711B">
      <w:pPr>
        <w:pStyle w:val="Akapitzlist"/>
        <w:numPr>
          <w:ilvl w:val="0"/>
          <w:numId w:val="42"/>
        </w:numPr>
        <w:spacing w:after="0" w:line="240" w:lineRule="auto"/>
      </w:pPr>
      <w:r>
        <w:t>opróżnienie zbiornika defosfatacji z zawartości,</w:t>
      </w:r>
    </w:p>
    <w:p w14:paraId="5A14C726" w14:textId="79EDEBE6" w:rsidR="0056711B" w:rsidRDefault="0056711B" w:rsidP="0056711B">
      <w:pPr>
        <w:pStyle w:val="Akapitzlist"/>
        <w:numPr>
          <w:ilvl w:val="0"/>
          <w:numId w:val="42"/>
        </w:numPr>
        <w:spacing w:after="0" w:line="240" w:lineRule="auto"/>
      </w:pPr>
      <w:r>
        <w:t>nieodpłatny dostęp do energii elektrycznej, wody ,</w:t>
      </w:r>
    </w:p>
    <w:p w14:paraId="6A28F49D" w14:textId="3B848313" w:rsidR="0056711B" w:rsidRDefault="0056711B" w:rsidP="0056711B">
      <w:pPr>
        <w:pStyle w:val="Akapitzlist"/>
        <w:numPr>
          <w:ilvl w:val="0"/>
          <w:numId w:val="42"/>
        </w:numPr>
        <w:spacing w:after="0" w:line="240" w:lineRule="auto"/>
      </w:pPr>
      <w:r>
        <w:t>pomieszczenie magazynowe i socjalne  dla pracowników,</w:t>
      </w:r>
    </w:p>
    <w:p w14:paraId="403D15E2" w14:textId="0DE8D3C8" w:rsidR="0056711B" w:rsidRDefault="0056711B" w:rsidP="0056711B">
      <w:pPr>
        <w:pStyle w:val="Akapitzlist"/>
        <w:numPr>
          <w:ilvl w:val="0"/>
          <w:numId w:val="42"/>
        </w:numPr>
        <w:spacing w:after="0" w:line="240" w:lineRule="auto"/>
      </w:pPr>
      <w:r>
        <w:t>ewentualny rozładunek materiałów wykonawcy na terenie MOŚ,</w:t>
      </w:r>
    </w:p>
    <w:p w14:paraId="027D59B2" w14:textId="0B72B3BE" w:rsidR="0056711B" w:rsidRDefault="0056711B" w:rsidP="0056711B">
      <w:pPr>
        <w:pStyle w:val="Akapitzlist"/>
        <w:numPr>
          <w:ilvl w:val="0"/>
          <w:numId w:val="42"/>
        </w:numPr>
        <w:spacing w:after="0" w:line="240" w:lineRule="auto"/>
      </w:pPr>
      <w:r>
        <w:t>ewentualny demontaż i montaż słupków barierek zabezpieczających obiekt.</w:t>
      </w: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52F9CA8" w14:textId="77777777" w:rsidR="000315E8" w:rsidRDefault="000315E8" w:rsidP="000315E8">
      <w:pPr>
        <w:pStyle w:val="Nagwek1"/>
        <w:numPr>
          <w:ilvl w:val="0"/>
          <w:numId w:val="43"/>
        </w:numP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Termin rozpoczęcia robót: do 7 dni od dnia zawarcia umowy.</w:t>
      </w:r>
    </w:p>
    <w:p w14:paraId="2FD400B8" w14:textId="338BA938" w:rsidR="00B72741" w:rsidRPr="00096CF2" w:rsidRDefault="000315E8" w:rsidP="000315E8">
      <w:pPr>
        <w:pStyle w:val="Nagwek1"/>
        <w:numPr>
          <w:ilvl w:val="0"/>
          <w:numId w:val="43"/>
        </w:numPr>
        <w:spacing w:before="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Termin zakończenia robót: do </w:t>
      </w:r>
      <w:r w:rsidR="00203D63">
        <w:rPr>
          <w:rFonts w:asciiTheme="minorHAnsi" w:eastAsia="Times New Roman" w:hAnsiTheme="minorHAnsi" w:cstheme="minorHAnsi"/>
          <w:color w:val="auto"/>
          <w:sz w:val="22"/>
          <w:szCs w:val="22"/>
        </w:rPr>
        <w:t>2 miesi</w:t>
      </w:r>
      <w:r>
        <w:rPr>
          <w:rFonts w:asciiTheme="minorHAnsi" w:eastAsia="Times New Roman" w:hAnsiTheme="minorHAnsi" w:cstheme="minorHAnsi"/>
          <w:color w:val="auto"/>
          <w:sz w:val="22"/>
          <w:szCs w:val="22"/>
        </w:rPr>
        <w:t>ęcy</w:t>
      </w:r>
      <w:r w:rsidR="00203D63">
        <w:rPr>
          <w:rFonts w:asciiTheme="minorHAnsi" w:eastAsia="Times New Roman" w:hAnsiTheme="minorHAnsi" w:cstheme="minorHAnsi"/>
          <w:color w:val="auto"/>
          <w:sz w:val="22"/>
          <w:szCs w:val="22"/>
        </w:rPr>
        <w:t xml:space="preserve"> </w:t>
      </w:r>
      <w:r w:rsidR="00B72741" w:rsidRPr="00096CF2">
        <w:rPr>
          <w:rFonts w:asciiTheme="minorHAnsi" w:eastAsia="Times New Roman" w:hAnsiTheme="minorHAnsi" w:cstheme="minorHAnsi"/>
          <w:color w:val="auto"/>
          <w:sz w:val="22"/>
          <w:szCs w:val="22"/>
        </w:rPr>
        <w:t>od dnia zawarcia umowy.</w:t>
      </w:r>
    </w:p>
    <w:p w14:paraId="7E8D5D81" w14:textId="153BBD25" w:rsidR="00C0721E" w:rsidRPr="008334FA" w:rsidRDefault="009F76A0" w:rsidP="00757EDF">
      <w:pPr>
        <w:pStyle w:val="Nagwek1"/>
        <w:spacing w:before="0"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3CE3824D" w14:textId="50050109" w:rsidR="0084762A" w:rsidRDefault="0084762A" w:rsidP="0084762A">
      <w:pPr>
        <w:pStyle w:val="Akapitzlist"/>
        <w:numPr>
          <w:ilvl w:val="0"/>
          <w:numId w:val="45"/>
        </w:numPr>
        <w:spacing w:after="0" w:line="276" w:lineRule="auto"/>
        <w:rPr>
          <w:rFonts w:eastAsia="Calibri" w:cstheme="minorHAnsi"/>
        </w:rPr>
      </w:pPr>
      <w:r w:rsidRPr="0084762A">
        <w:rPr>
          <w:rFonts w:eastAsia="Calibri" w:cstheme="minorHAnsi"/>
        </w:rPr>
        <w:t>Podstawą dokonania rozliczenia przedmiotu umowy jest wykonanie całości zamówienia.</w:t>
      </w:r>
      <w:r w:rsidR="00DA7DFF">
        <w:rPr>
          <w:rFonts w:eastAsia="Calibri" w:cstheme="minorHAnsi"/>
        </w:rPr>
        <w:t xml:space="preserve"> Za prawidłowe i terminowe wykonanie zamówienia Zamawiający zapłaci Wykonawcy wynagrodzenie ryczałtowo-ilościowe.</w:t>
      </w:r>
    </w:p>
    <w:p w14:paraId="18A1DC67" w14:textId="31D7A4A4" w:rsidR="00DA7DFF" w:rsidRPr="00DA7DFF" w:rsidRDefault="00DA7DFF" w:rsidP="00014094">
      <w:pPr>
        <w:pStyle w:val="Akapitzlist"/>
        <w:numPr>
          <w:ilvl w:val="0"/>
          <w:numId w:val="45"/>
        </w:numPr>
        <w:spacing w:after="0" w:line="276" w:lineRule="auto"/>
        <w:rPr>
          <w:rFonts w:eastAsia="Calibri" w:cstheme="minorHAnsi"/>
        </w:rPr>
      </w:pPr>
      <w:r w:rsidRPr="00DA7DFF">
        <w:rPr>
          <w:rFonts w:eastAsia="Calibri" w:cstheme="minorHAnsi"/>
        </w:rPr>
        <w:t>Rozliczenie robót, o którym w pkt 1 nastąpi kosztorysem powykonawczym na podstawie faktycznie wykonanych i odebranych robót w oparciu o ceny jednostkowe zgodnie z kosztorysem ofertowym Wykonawcy.</w:t>
      </w:r>
    </w:p>
    <w:p w14:paraId="04E3AFCD" w14:textId="1C6BFE82" w:rsidR="0084762A" w:rsidRPr="00DA7DFF" w:rsidRDefault="0084762A" w:rsidP="00DA7DFF">
      <w:pPr>
        <w:pStyle w:val="Akapitzlist"/>
        <w:numPr>
          <w:ilvl w:val="0"/>
          <w:numId w:val="45"/>
        </w:numPr>
        <w:spacing w:after="0" w:line="276" w:lineRule="auto"/>
        <w:rPr>
          <w:rFonts w:eastAsia="Calibri" w:cstheme="minorHAnsi"/>
        </w:rPr>
      </w:pPr>
      <w:r w:rsidRPr="00DA7DFF">
        <w:rPr>
          <w:rFonts w:eastAsia="Calibri" w:cstheme="minorHAnsi"/>
        </w:rPr>
        <w:t>Końcowe rozliczenie kosztów robót nastąpi fakturą końcową wystawioną po dokonaniu odbioru całości przedmiotu umowy na podstawie protokołu odbioru końcowego podpisanego przez obie strony oraz przedłożona przez Wykonawcę na jego podstawie faktura VAT.</w:t>
      </w:r>
    </w:p>
    <w:p w14:paraId="0F014EDE" w14:textId="403B456F" w:rsidR="0084762A" w:rsidRDefault="00C0721E" w:rsidP="0084762A">
      <w:pPr>
        <w:pStyle w:val="Akapitzlist"/>
        <w:numPr>
          <w:ilvl w:val="0"/>
          <w:numId w:val="45"/>
        </w:numPr>
        <w:spacing w:after="0" w:line="276" w:lineRule="auto"/>
        <w:rPr>
          <w:rFonts w:eastAsia="Calibri" w:cstheme="minorHAnsi"/>
        </w:rPr>
      </w:pPr>
      <w:r w:rsidRPr="0084762A">
        <w:rPr>
          <w:rFonts w:eastAsia="Calibri" w:cstheme="minorHAnsi"/>
        </w:rPr>
        <w:t>Termin płatności:</w:t>
      </w:r>
      <w:r w:rsidRPr="0084762A">
        <w:rPr>
          <w:rFonts w:eastAsia="Calibri" w:cstheme="minorHAnsi"/>
          <w:b/>
          <w:bCs/>
        </w:rPr>
        <w:t xml:space="preserve"> </w:t>
      </w:r>
      <w:r w:rsidRPr="0084762A">
        <w:rPr>
          <w:rFonts w:eastAsia="Calibri" w:cstheme="minorHAnsi"/>
        </w:rPr>
        <w:t>14 dni od dnia dostarczenia prawidłowo wystawionej faktury.</w:t>
      </w:r>
      <w:r w:rsidR="0084762A" w:rsidRPr="0084762A">
        <w:rPr>
          <w:rFonts w:eastAsia="Calibri" w:cstheme="minorHAnsi"/>
        </w:rPr>
        <w:t xml:space="preserve"> </w:t>
      </w:r>
    </w:p>
    <w:p w14:paraId="4588B300" w14:textId="3DAEA42F" w:rsidR="00C0721E" w:rsidRPr="008334FA" w:rsidRDefault="00DF7A95" w:rsidP="00966674">
      <w:pPr>
        <w:pStyle w:val="Akapitzlist"/>
        <w:spacing w:after="0" w:line="276" w:lineRule="auto"/>
        <w:ind w:left="360"/>
        <w:jc w:val="center"/>
        <w:rPr>
          <w:rFonts w:eastAsia="Times New Roman" w:cstheme="minorHAnsi"/>
          <w:b/>
          <w:bCs/>
          <w:sz w:val="24"/>
          <w:szCs w:val="24"/>
        </w:rPr>
      </w:pPr>
      <w:r w:rsidRPr="0084762A">
        <w:rPr>
          <w:rFonts w:eastAsia="Calibri" w:cstheme="minorHAnsi"/>
        </w:rPr>
        <w:br/>
      </w:r>
      <w:r w:rsidR="00C0721E" w:rsidRPr="008334FA">
        <w:rPr>
          <w:rFonts w:eastAsia="Times New Roman" w:cstheme="minorHAnsi"/>
          <w:b/>
          <w:bCs/>
          <w:sz w:val="24"/>
          <w:szCs w:val="24"/>
        </w:rPr>
        <w:t>§ 4. Opis kryteriów.</w:t>
      </w:r>
    </w:p>
    <w:p w14:paraId="2847CDF5" w14:textId="282D9C6C"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lastRenderedPageBreak/>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7316D3E1" w14:textId="77777777"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Do oferty sporządzonej na wymaganym formularzu ofertowym należy dołączyć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75DB61E6" w:rsidR="00C0721E" w:rsidRPr="001B1EDB"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0"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p w14:paraId="7C479F2D" w14:textId="5A7F807B" w:rsidR="001B1EDB" w:rsidRPr="00502212" w:rsidRDefault="001B1EDB" w:rsidP="001B1EDB">
      <w:pPr>
        <w:widowControl w:val="0"/>
        <w:numPr>
          <w:ilvl w:val="0"/>
          <w:numId w:val="12"/>
        </w:numPr>
        <w:tabs>
          <w:tab w:val="left" w:pos="707"/>
        </w:tabs>
        <w:autoSpaceDE w:val="0"/>
        <w:autoSpaceDN w:val="0"/>
        <w:adjustRightInd w:val="0"/>
        <w:spacing w:line="320" w:lineRule="exact"/>
        <w:ind w:left="357" w:hanging="357"/>
        <w:jc w:val="both"/>
        <w:rPr>
          <w:rFonts w:eastAsia="Times New Roman" w:cstheme="minorHAnsi"/>
          <w:kern w:val="28"/>
          <w:u w:val="single"/>
          <w:lang w:eastAsia="pl-PL"/>
        </w:rPr>
      </w:pPr>
      <w:r w:rsidRPr="00502212">
        <w:rPr>
          <w:rFonts w:eastAsia="Times New Roman" w:cstheme="minorHAnsi"/>
          <w:bCs/>
          <w:iCs/>
          <w:lang w:eastAsia="x-none"/>
        </w:rPr>
        <w:t>Kosztorys ofertowy szczegółowy lub uproszczony.</w:t>
      </w:r>
    </w:p>
    <w:bookmarkEnd w:id="0"/>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6BE0ABFC"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BD7278">
        <w:rPr>
          <w:rFonts w:eastAsia="Calibri" w:cstheme="minorHAnsi"/>
          <w:b/>
          <w:bCs/>
          <w:kern w:val="28"/>
          <w:shd w:val="clear" w:color="auto" w:fill="FFFFFF"/>
        </w:rPr>
        <w:t>05.07</w:t>
      </w:r>
      <w:r w:rsidR="00EB5D89" w:rsidRPr="008334FA">
        <w:rPr>
          <w:rFonts w:eastAsia="Calibri" w:cstheme="minorHAnsi"/>
          <w:b/>
          <w:bCs/>
          <w:kern w:val="28"/>
          <w:shd w:val="clear" w:color="auto" w:fill="FFFFFF"/>
        </w:rPr>
        <w:t>.</w:t>
      </w:r>
      <w:r w:rsidRPr="008334FA">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0F0470E3" w14:textId="49B97A55" w:rsidR="00460F6D" w:rsidRDefault="00C0721E" w:rsidP="00B045F0">
            <w:pPr>
              <w:widowControl w:val="0"/>
              <w:tabs>
                <w:tab w:val="left" w:pos="357"/>
              </w:tabs>
              <w:ind w:left="25"/>
              <w:jc w:val="center"/>
              <w:rPr>
                <w:rFonts w:asciiTheme="minorHAnsi" w:hAnsiTheme="minorHAnsi" w:cstheme="minorHAnsi"/>
                <w:b/>
                <w:bCs/>
                <w:sz w:val="22"/>
                <w:szCs w:val="22"/>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460F6D" w:rsidRPr="00460F6D">
              <w:rPr>
                <w:rFonts w:asciiTheme="minorHAnsi" w:hAnsiTheme="minorHAnsi" w:cstheme="minorHAnsi"/>
                <w:b/>
                <w:bCs/>
                <w:sz w:val="22"/>
                <w:szCs w:val="22"/>
              </w:rPr>
              <w:t>„Naprawa  i zabezpieczenie powierzchni betonowych korony komory defosfatacji”</w:t>
            </w:r>
          </w:p>
          <w:p w14:paraId="2BD7FBC4" w14:textId="150C27CE" w:rsidR="00774F13" w:rsidRPr="00B045F0" w:rsidRDefault="00460F6D"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KC.2</w:t>
            </w:r>
            <w:r>
              <w:rPr>
                <w:rFonts w:asciiTheme="minorHAnsi" w:eastAsia="Calibri" w:hAnsiTheme="minorHAnsi" w:cstheme="minorHAnsi"/>
                <w:b/>
                <w:kern w:val="28"/>
                <w:sz w:val="22"/>
                <w:szCs w:val="22"/>
              </w:rPr>
              <w:t>5</w:t>
            </w:r>
            <w:r w:rsidR="00774F13" w:rsidRPr="002B5285">
              <w:rPr>
                <w:rFonts w:asciiTheme="minorHAnsi" w:eastAsia="Calibri" w:hAnsiTheme="minorHAnsi" w:cstheme="minorHAnsi"/>
                <w:b/>
                <w:kern w:val="28"/>
                <w:sz w:val="22"/>
                <w:szCs w:val="22"/>
              </w:rPr>
              <w:t>.2021</w:t>
            </w:r>
          </w:p>
          <w:p w14:paraId="26EFBCF6" w14:textId="0013B45E"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8429FE" w:rsidRPr="008429FE">
              <w:rPr>
                <w:rFonts w:asciiTheme="minorHAnsi" w:eastAsia="Calibri" w:hAnsiTheme="minorHAnsi" w:cstheme="minorHAnsi"/>
                <w:b/>
                <w:bCs/>
                <w:kern w:val="28"/>
                <w:sz w:val="22"/>
                <w:szCs w:val="22"/>
                <w:shd w:val="clear" w:color="auto" w:fill="FFFFFF"/>
              </w:rPr>
              <w:t>05.07</w:t>
            </w:r>
            <w:r w:rsidRPr="008429FE">
              <w:rPr>
                <w:rFonts w:asciiTheme="minorHAnsi" w:eastAsia="Calibri" w:hAnsiTheme="minorHAnsi" w:cstheme="minorHAnsi"/>
                <w:b/>
                <w:bCs/>
                <w:kern w:val="28"/>
                <w:sz w:val="22"/>
                <w:szCs w:val="22"/>
                <w:shd w:val="clear" w:color="auto" w:fill="FFFFFF"/>
              </w:rPr>
              <w:t>.</w:t>
            </w:r>
            <w:r w:rsidRPr="008334FA">
              <w:rPr>
                <w:rFonts w:asciiTheme="minorHAnsi" w:eastAsia="Calibri" w:hAnsiTheme="minorHAnsi" w:cstheme="minorHAnsi"/>
                <w:b/>
                <w:bCs/>
                <w:kern w:val="28"/>
                <w:sz w:val="22"/>
                <w:szCs w:val="22"/>
                <w:shd w:val="clear" w:color="auto" w:fill="FFFFFF"/>
              </w:rPr>
              <w:t>2021</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10:15</w:t>
            </w:r>
          </w:p>
        </w:tc>
      </w:tr>
    </w:tbl>
    <w:p w14:paraId="2CF98C1B" w14:textId="77777777"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 xml:space="preserve">pisemnej- skany </w:t>
      </w:r>
      <w:r w:rsidRPr="008334FA">
        <w:rPr>
          <w:rFonts w:eastAsia="Calibri" w:cstheme="minorHAnsi"/>
          <w:kern w:val="28"/>
          <w:shd w:val="clear" w:color="auto" w:fill="FFFFFF"/>
        </w:rPr>
        <w:lastRenderedPageBreak/>
        <w:t>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A421DC7" w14:textId="3C65679A" w:rsidR="00391A89"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rPr>
        <w:t>Oferent określi ceny jednostkowe wymienione w formularzu ofertowym.</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77777777"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Ceny jednostkowe winny być określone przez Oferenta z uwzględnieniem ewentualnych upustów.</w:t>
      </w:r>
    </w:p>
    <w:p w14:paraId="754A072E" w14:textId="6DAB9011"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144143FD" w:rsidR="00391A89" w:rsidRDefault="00391A89"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44500C5D" w14:textId="4C4B9586" w:rsidR="00C0721E" w:rsidRPr="00C93777" w:rsidRDefault="00C0721E"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rPr>
        <w:t>Cena oferty będzie stanowić ryczałtow</w:t>
      </w:r>
      <w:r w:rsidR="00220A2A">
        <w:rPr>
          <w:rFonts w:eastAsia="Calibri" w:cstheme="minorHAnsi"/>
        </w:rPr>
        <w:t>o- ilościowe</w:t>
      </w:r>
      <w:r w:rsidRPr="00391A89">
        <w:rPr>
          <w:rFonts w:eastAsia="Calibri" w:cstheme="minorHAnsi"/>
        </w:rPr>
        <w:t xml:space="preserve"> i </w:t>
      </w:r>
      <w:r w:rsidR="00220A2A">
        <w:rPr>
          <w:rFonts w:eastAsia="Calibri" w:cstheme="minorHAnsi"/>
        </w:rPr>
        <w:t>orientacyjne</w:t>
      </w:r>
      <w:r w:rsidRPr="00391A89">
        <w:rPr>
          <w:rFonts w:eastAsia="Calibri" w:cstheme="minorHAnsi"/>
        </w:rPr>
        <w:t xml:space="preserve"> wynagrodzenie </w:t>
      </w:r>
      <w:r w:rsidR="00474073" w:rsidRPr="00391A89">
        <w:rPr>
          <w:rFonts w:eastAsia="Calibri" w:cstheme="minorHAnsi"/>
        </w:rPr>
        <w:t>W</w:t>
      </w:r>
      <w:r w:rsidRPr="00391A89">
        <w:rPr>
          <w:rFonts w:eastAsia="Calibri" w:cstheme="minorHAnsi"/>
        </w:rPr>
        <w:t>ykonawcy za wykonanie przedmiotu zamówienia</w:t>
      </w:r>
      <w:r w:rsidR="00141455">
        <w:rPr>
          <w:rFonts w:eastAsia="Calibri" w:cstheme="minorHAnsi"/>
        </w:rPr>
        <w:t>.</w:t>
      </w:r>
    </w:p>
    <w:p w14:paraId="1BB86A11" w14:textId="2C29C2B8" w:rsidR="00C0721E" w:rsidRPr="00C93777" w:rsidRDefault="006A1708" w:rsidP="00502212">
      <w:pPr>
        <w:pStyle w:val="Akapitzlist"/>
        <w:numPr>
          <w:ilvl w:val="0"/>
          <w:numId w:val="9"/>
        </w:numPr>
        <w:spacing w:after="0"/>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1" w:name="bookmark4"/>
      <w:r w:rsidRPr="008334FA">
        <w:rPr>
          <w:rFonts w:asciiTheme="minorHAnsi" w:eastAsia="Times New Roman" w:hAnsiTheme="minorHAnsi" w:cstheme="minorHAnsi"/>
          <w:b/>
          <w:bCs/>
          <w:color w:val="auto"/>
          <w:sz w:val="24"/>
          <w:szCs w:val="24"/>
        </w:rPr>
        <w:t>§ 10. Dodatkowe informacje</w:t>
      </w:r>
      <w:bookmarkEnd w:id="1"/>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Jeśli taka sytuacja będzie miała miejsce, to wszystkie prawa i obowiązki Zamawiającego i Oferentów </w:t>
      </w:r>
      <w:r w:rsidRPr="008334FA">
        <w:rPr>
          <w:rFonts w:eastAsia="Calibri" w:cstheme="minorHAnsi"/>
        </w:rPr>
        <w:lastRenderedPageBreak/>
        <w:t>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2" w:name="bookmark5"/>
      <w:r w:rsidRPr="008334FA">
        <w:rPr>
          <w:rFonts w:eastAsia="Calibri" w:cstheme="minorHAnsi"/>
        </w:rPr>
        <w:t xml:space="preserve"> stanowić oddzielną część oferty, opisaną w następujący sposób: „tajemnice przedsiębiorstwa - tylko do wglądu przez Zamawiającego</w:t>
      </w:r>
      <w:bookmarkEnd w:id="2"/>
      <w:r w:rsidRPr="008334FA">
        <w:rPr>
          <w:rFonts w:eastAsia="Calibri" w:cstheme="minorHAnsi"/>
        </w:rPr>
        <w:t>”.</w:t>
      </w:r>
    </w:p>
    <w:p w14:paraId="5BFC1D57" w14:textId="13397BE8"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3D609BF6"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5D6952" w:rsidRPr="005D6952">
        <w:rPr>
          <w:rFonts w:eastAsia="Calibri" w:cstheme="minorHAnsi"/>
          <w:b/>
          <w:bCs/>
          <w:kern w:val="28"/>
          <w:shd w:val="clear" w:color="auto" w:fill="FFFFFF"/>
        </w:rPr>
        <w:t>05.07</w:t>
      </w:r>
      <w:r w:rsidR="00C0721E" w:rsidRPr="005D6952">
        <w:rPr>
          <w:rFonts w:eastAsia="Calibri" w:cstheme="minorHAnsi"/>
          <w:b/>
          <w:bCs/>
          <w:kern w:val="28"/>
          <w:shd w:val="clear" w:color="auto" w:fill="FFFFFF"/>
        </w:rPr>
        <w:t>.</w:t>
      </w:r>
      <w:r w:rsidR="00C0721E" w:rsidRPr="008334FA">
        <w:rPr>
          <w:rFonts w:eastAsia="Calibri" w:cstheme="minorHAnsi"/>
          <w:b/>
          <w:kern w:val="28"/>
          <w:shd w:val="clear" w:color="auto" w:fill="FFFFFF"/>
        </w:rPr>
        <w:t>2021 r. o godz. 10:15</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w:t>
      </w:r>
      <w:r w:rsidRPr="008334FA">
        <w:rPr>
          <w:rFonts w:eastAsia="Calibri" w:cstheme="minorHAnsi"/>
        </w:rPr>
        <w:lastRenderedPageBreak/>
        <w:t xml:space="preserve">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7A6441">
      <w:pPr>
        <w:suppressAutoHyphens/>
        <w:spacing w:after="150" w:line="276" w:lineRule="auto"/>
        <w:jc w:val="both"/>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Administratorem Pani/Pana danych osobowych jest Miejski Zakład Komunalny Sp. z o. o.; ul. Komunalna 1, 37-450 Stalowa Wola;</w:t>
      </w:r>
    </w:p>
    <w:p w14:paraId="27BEAE6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4"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DD28149"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Posiada Pani/Pan:</w:t>
      </w:r>
    </w:p>
    <w:p w14:paraId="7D8E6B8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15 RODO prawo dostępu do danych osobowych Pani/Pana dotyczących;</w:t>
      </w:r>
    </w:p>
    <w:p w14:paraId="5BC12C7B"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77777777" w:rsidR="00C0721E" w:rsidRPr="008334FA" w:rsidRDefault="00C0721E" w:rsidP="007A6441">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Pani/Panu:</w:t>
      </w:r>
    </w:p>
    <w:p w14:paraId="68EC7FDB"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 xml:space="preserve">przechowywania, w celu zapewnienia korzystania ze środków ochrony prawnej lub w celu ochrony </w:t>
      </w:r>
      <w:r w:rsidRPr="008334FA">
        <w:rPr>
          <w:rFonts w:eastAsia="Calibri" w:cstheme="minorHAnsi"/>
          <w:i/>
          <w:color w:val="000000" w:themeColor="text1"/>
          <w:lang w:eastAsia="pl-PL"/>
        </w:rPr>
        <w:lastRenderedPageBreak/>
        <w:t>praw innej osoby fizycznej lub prawnej, lub z uwagi na ważne względy interesu publicznego Unii Europejskiej lub państwa członkowskiego.</w:t>
      </w:r>
    </w:p>
    <w:p w14:paraId="2441E651" w14:textId="77777777" w:rsidR="00C0721E" w:rsidRPr="008334FA" w:rsidRDefault="00C0721E" w:rsidP="00C0721E">
      <w:pPr>
        <w:pStyle w:val="Nagwek1"/>
        <w:spacing w:after="240"/>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3BEFB1C3"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6F0F5B9E" w14:textId="713473CF" w:rsidR="00C0721E" w:rsidRPr="00473B5F" w:rsidRDefault="00C0721E" w:rsidP="007A6441">
      <w:pPr>
        <w:widowControl w:val="0"/>
        <w:numPr>
          <w:ilvl w:val="0"/>
          <w:numId w:val="5"/>
        </w:numPr>
        <w:tabs>
          <w:tab w:val="left" w:pos="426"/>
        </w:tabs>
        <w:spacing w:line="320" w:lineRule="exact"/>
        <w:ind w:left="357" w:hanging="357"/>
        <w:jc w:val="both"/>
        <w:rPr>
          <w:rFonts w:eastAsia="Calibri" w:cstheme="minorHAnsi"/>
        </w:rPr>
      </w:pPr>
      <w:r w:rsidRPr="00473B5F">
        <w:rPr>
          <w:rFonts w:eastAsia="Calibri" w:cstheme="minorHAnsi"/>
        </w:rPr>
        <w:t xml:space="preserve">Sprawy nie ujęte w niniejszym Zapytaniu ofertowym regulują przepisy Kodeksu Cywilnego. </w:t>
      </w:r>
      <w:r w:rsidR="00746F83" w:rsidRPr="00473B5F">
        <w:rPr>
          <w:rFonts w:eastAsia="Calibri" w:cstheme="minorHAnsi"/>
        </w:rPr>
        <w:br/>
      </w:r>
      <w:r w:rsidR="00746F83" w:rsidRPr="00473B5F">
        <w:rPr>
          <w:rFonts w:eastAsia="Calibri" w:cstheme="minorHAnsi"/>
        </w:rPr>
        <w:br/>
      </w:r>
      <w:r w:rsidR="00B123B3">
        <w:rPr>
          <w:rFonts w:eastAsia="Times New Roman" w:cstheme="minorHAnsi"/>
          <w:b/>
          <w:bCs/>
          <w:sz w:val="24"/>
          <w:szCs w:val="24"/>
        </w:rPr>
        <w:t xml:space="preserve">                                            </w:t>
      </w:r>
      <w:r w:rsidR="00C90FC9">
        <w:rPr>
          <w:rFonts w:eastAsia="Times New Roman" w:cstheme="minorHAnsi"/>
          <w:b/>
          <w:bCs/>
          <w:sz w:val="24"/>
          <w:szCs w:val="24"/>
        </w:rPr>
        <w:br/>
      </w:r>
      <w:r w:rsidR="00B123B3">
        <w:rPr>
          <w:rFonts w:eastAsia="Times New Roman" w:cstheme="minorHAnsi"/>
          <w:b/>
          <w:bCs/>
          <w:sz w:val="24"/>
          <w:szCs w:val="24"/>
        </w:rPr>
        <w:t xml:space="preserve">   </w:t>
      </w:r>
      <w:r w:rsidRPr="00473B5F">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2F6DDEA1"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 xml:space="preserve">Ewa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 tel. (15) 842 34 11 wew. 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 e-mail: 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p>
    <w:p w14:paraId="53E32A66" w14:textId="70DC12C4"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br/>
      </w:r>
      <w:r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3"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r w:rsidR="002C400D" w:rsidRPr="008334FA" w14:paraId="668D6B4F" w14:textId="77777777" w:rsidTr="00363777">
        <w:trPr>
          <w:trHeight w:hRule="exact" w:val="408"/>
        </w:trPr>
        <w:tc>
          <w:tcPr>
            <w:tcW w:w="500" w:type="dxa"/>
          </w:tcPr>
          <w:p w14:paraId="2F479713" w14:textId="77777777" w:rsidR="002C400D" w:rsidRPr="008334FA" w:rsidRDefault="002C400D" w:rsidP="00F31C9D">
            <w:pPr>
              <w:pStyle w:val="Akapitzlist"/>
              <w:widowControl w:val="0"/>
              <w:numPr>
                <w:ilvl w:val="0"/>
                <w:numId w:val="16"/>
              </w:numPr>
              <w:spacing w:line="350" w:lineRule="exact"/>
              <w:rPr>
                <w:rFonts w:eastAsia="Calibri" w:cstheme="minorHAnsi"/>
              </w:rPr>
            </w:pPr>
          </w:p>
        </w:tc>
        <w:tc>
          <w:tcPr>
            <w:tcW w:w="2189" w:type="dxa"/>
            <w:vAlign w:val="center"/>
          </w:tcPr>
          <w:p w14:paraId="687B71F8" w14:textId="58C8E8CC" w:rsidR="002C400D" w:rsidRPr="008334FA" w:rsidRDefault="002C400D"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62D027A2" w14:textId="0343B393" w:rsidR="002C400D" w:rsidRPr="002C400D" w:rsidRDefault="002C400D" w:rsidP="00363777">
            <w:pPr>
              <w:widowControl w:val="0"/>
              <w:spacing w:line="210" w:lineRule="exact"/>
              <w:ind w:left="120"/>
              <w:rPr>
                <w:rFonts w:ascii="Calibri" w:eastAsia="Calibri" w:hAnsi="Calibri" w:cs="Calibri"/>
                <w:sz w:val="22"/>
                <w:szCs w:val="22"/>
              </w:rPr>
            </w:pPr>
            <w:r w:rsidRPr="002C400D">
              <w:rPr>
                <w:rFonts w:ascii="Calibri" w:eastAsia="Calibri" w:hAnsi="Calibri" w:cs="Calibri"/>
                <w:sz w:val="22"/>
                <w:szCs w:val="22"/>
              </w:rPr>
              <w:t xml:space="preserve">Przedmiar </w:t>
            </w:r>
          </w:p>
        </w:tc>
      </w:tr>
    </w:tbl>
    <w:bookmarkEnd w:id="3"/>
    <w:p w14:paraId="6F86CC9B" w14:textId="4D2C9BBB" w:rsidR="00C0721E" w:rsidRPr="00AC1B67" w:rsidRDefault="0066522E" w:rsidP="0066522E">
      <w:pPr>
        <w:widowControl w:val="0"/>
        <w:tabs>
          <w:tab w:val="left" w:pos="-13212"/>
          <w:tab w:val="left" w:pos="6237"/>
          <w:tab w:val="right" w:pos="9639"/>
        </w:tabs>
        <w:autoSpaceDE w:val="0"/>
        <w:autoSpaceDN w:val="0"/>
        <w:spacing w:before="840" w:after="0" w:line="240" w:lineRule="auto"/>
        <w:ind w:left="5672"/>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sidR="003C329C">
        <w:rPr>
          <w:rFonts w:eastAsia="Calibri" w:cstheme="minorHAnsi"/>
          <w:iCs/>
          <w:kern w:val="28"/>
          <w:sz w:val="24"/>
          <w:szCs w:val="24"/>
          <w:shd w:val="clear" w:color="auto" w:fill="FFFFFF"/>
        </w:rPr>
        <w:br/>
      </w:r>
      <w:r w:rsidR="003C329C">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449FBFCF" w:rsidR="003E4300" w:rsidRPr="0066522E" w:rsidRDefault="00C0721E" w:rsidP="0066522E">
      <w:pPr>
        <w:widowControl w:val="0"/>
        <w:tabs>
          <w:tab w:val="left" w:pos="-13212"/>
          <w:tab w:val="left" w:pos="6521"/>
          <w:tab w:val="right" w:pos="9639"/>
        </w:tabs>
        <w:autoSpaceDE w:val="0"/>
        <w:autoSpaceDN w:val="0"/>
        <w:spacing w:after="0" w:line="240" w:lineRule="auto"/>
        <w:ind w:left="5672"/>
        <w:jc w:val="center"/>
        <w:rPr>
          <w:rFonts w:eastAsia="ArialMT" w:cstheme="minorHAnsi"/>
          <w:i/>
          <w:iCs/>
          <w:kern w:val="28"/>
          <w:shd w:val="clear" w:color="auto" w:fill="FFFFFF"/>
        </w:rPr>
        <w:sectPr w:rsidR="003E4300" w:rsidRPr="0066522E" w:rsidSect="006B333F">
          <w:headerReference w:type="even" r:id="rId15"/>
          <w:headerReference w:type="default" r:id="rId16"/>
          <w:footerReference w:type="even" r:id="rId17"/>
          <w:footerReference w:type="default" r:id="rId18"/>
          <w:headerReference w:type="first" r:id="rId19"/>
          <w:footerReference w:type="first" r:id="rId20"/>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4" w:name="_Hlk504983338"/>
    </w:p>
    <w:bookmarkEnd w:id="4"/>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917" w14:textId="77777777" w:rsidR="00E92227" w:rsidRDefault="00E92227" w:rsidP="00260550">
      <w:pPr>
        <w:spacing w:after="0" w:line="240" w:lineRule="auto"/>
      </w:pPr>
      <w:r>
        <w:separator/>
      </w:r>
    </w:p>
  </w:endnote>
  <w:endnote w:type="continuationSeparator" w:id="0">
    <w:p w14:paraId="7CF0684C" w14:textId="77777777" w:rsidR="00E92227" w:rsidRDefault="00E9222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A165" w14:textId="77777777" w:rsidR="00630715" w:rsidRDefault="006307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ECB" w14:textId="77777777" w:rsidR="00E92227" w:rsidRDefault="00E92227" w:rsidP="00260550">
      <w:pPr>
        <w:spacing w:after="0" w:line="240" w:lineRule="auto"/>
      </w:pPr>
      <w:r>
        <w:separator/>
      </w:r>
    </w:p>
  </w:footnote>
  <w:footnote w:type="continuationSeparator" w:id="0">
    <w:p w14:paraId="34A6DBAB" w14:textId="77777777" w:rsidR="00E92227" w:rsidRDefault="00E9222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2981" w14:textId="77777777" w:rsidR="00630715" w:rsidRDefault="00630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A22F0CE" w:rsidR="002571D4" w:rsidRDefault="00E12DDE" w:rsidP="00796251">
    <w:pPr>
      <w:pStyle w:val="Nagwek"/>
      <w:jc w:val="center"/>
    </w:pPr>
    <w:r>
      <w:rPr>
        <w:noProof/>
        <w:lang w:eastAsia="pl-PL"/>
      </w:rPr>
      <w:br/>
    </w:r>
    <w:r w:rsidR="00746F83">
      <w:rPr>
        <w:noProof/>
        <w:lang w:eastAsia="pl-PL"/>
      </w:rPr>
      <w:drawing>
        <wp:inline distT="0" distB="0" distL="0" distR="0" wp14:anchorId="36222604" wp14:editId="5DEA8107">
          <wp:extent cx="6192520" cy="1024322"/>
          <wp:effectExtent l="0" t="0" r="0" b="4445"/>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192520" cy="1024322"/>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543"/>
    <w:multiLevelType w:val="hybridMultilevel"/>
    <w:tmpl w:val="2392ECDC"/>
    <w:lvl w:ilvl="0" w:tplc="3B20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A3E89"/>
    <w:multiLevelType w:val="hybridMultilevel"/>
    <w:tmpl w:val="811EE0C6"/>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647D8"/>
    <w:multiLevelType w:val="hybridMultilevel"/>
    <w:tmpl w:val="9D80A670"/>
    <w:lvl w:ilvl="0" w:tplc="EC60A3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E776B0"/>
    <w:multiLevelType w:val="hybridMultilevel"/>
    <w:tmpl w:val="13284C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04A5FC0"/>
    <w:multiLevelType w:val="hybridMultilevel"/>
    <w:tmpl w:val="BB2E82E8"/>
    <w:lvl w:ilvl="0" w:tplc="3B20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E11229"/>
    <w:multiLevelType w:val="hybridMultilevel"/>
    <w:tmpl w:val="690C8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BE9515A"/>
    <w:multiLevelType w:val="hybridMultilevel"/>
    <w:tmpl w:val="6A606626"/>
    <w:lvl w:ilvl="0" w:tplc="B7DC09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A3467"/>
    <w:multiLevelType w:val="hybridMultilevel"/>
    <w:tmpl w:val="2250C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856711"/>
    <w:multiLevelType w:val="hybridMultilevel"/>
    <w:tmpl w:val="910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3A756E4"/>
    <w:multiLevelType w:val="hybridMultilevel"/>
    <w:tmpl w:val="65E6968E"/>
    <w:lvl w:ilvl="0" w:tplc="8D82440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EA3F38"/>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C17977"/>
    <w:multiLevelType w:val="hybridMultilevel"/>
    <w:tmpl w:val="51886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906088"/>
    <w:multiLevelType w:val="hybridMultilevel"/>
    <w:tmpl w:val="91863014"/>
    <w:lvl w:ilvl="0" w:tplc="BE2AD6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DE280C"/>
    <w:multiLevelType w:val="hybridMultilevel"/>
    <w:tmpl w:val="DBB8AF2A"/>
    <w:lvl w:ilvl="0" w:tplc="4BA6AA6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B756C8"/>
    <w:multiLevelType w:val="hybridMultilevel"/>
    <w:tmpl w:val="F5F08098"/>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E81FA1"/>
    <w:multiLevelType w:val="hybridMultilevel"/>
    <w:tmpl w:val="403A4626"/>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0C244D"/>
    <w:multiLevelType w:val="hybridMultilevel"/>
    <w:tmpl w:val="11FE81C0"/>
    <w:lvl w:ilvl="0" w:tplc="2EDC1FB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2C40FB"/>
    <w:multiLevelType w:val="hybridMultilevel"/>
    <w:tmpl w:val="25963C72"/>
    <w:lvl w:ilvl="0" w:tplc="EDAEE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4A3AC1"/>
    <w:multiLevelType w:val="hybridMultilevel"/>
    <w:tmpl w:val="76866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CC2313"/>
    <w:multiLevelType w:val="hybridMultilevel"/>
    <w:tmpl w:val="9FE8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81A67"/>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076E21"/>
    <w:multiLevelType w:val="hybridMultilevel"/>
    <w:tmpl w:val="4EB84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5E4D98"/>
    <w:multiLevelType w:val="hybridMultilevel"/>
    <w:tmpl w:val="2BFA6B0C"/>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41" w15:restartNumberingAfterBreak="0">
    <w:nsid w:val="73512AB2"/>
    <w:multiLevelType w:val="hybridMultilevel"/>
    <w:tmpl w:val="483C8386"/>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1F7C14"/>
    <w:multiLevelType w:val="hybridMultilevel"/>
    <w:tmpl w:val="E2DCB9FA"/>
    <w:lvl w:ilvl="0" w:tplc="6FF0CE0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0B6919"/>
    <w:multiLevelType w:val="hybridMultilevel"/>
    <w:tmpl w:val="47107F44"/>
    <w:lvl w:ilvl="0" w:tplc="3B20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923548"/>
    <w:multiLevelType w:val="hybridMultilevel"/>
    <w:tmpl w:val="A8C2A3DA"/>
    <w:lvl w:ilvl="0" w:tplc="26DAEC96">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4"/>
  </w:num>
  <w:num w:numId="3">
    <w:abstractNumId w:val="35"/>
  </w:num>
  <w:num w:numId="4">
    <w:abstractNumId w:val="34"/>
  </w:num>
  <w:num w:numId="5">
    <w:abstractNumId w:val="21"/>
  </w:num>
  <w:num w:numId="6">
    <w:abstractNumId w:val="37"/>
  </w:num>
  <w:num w:numId="7">
    <w:abstractNumId w:val="23"/>
  </w:num>
  <w:num w:numId="8">
    <w:abstractNumId w:val="19"/>
  </w:num>
  <w:num w:numId="9">
    <w:abstractNumId w:val="8"/>
  </w:num>
  <w:num w:numId="10">
    <w:abstractNumId w:val="20"/>
  </w:num>
  <w:num w:numId="11">
    <w:abstractNumId w:val="10"/>
  </w:num>
  <w:num w:numId="12">
    <w:abstractNumId w:val="4"/>
  </w:num>
  <w:num w:numId="13">
    <w:abstractNumId w:val="11"/>
  </w:num>
  <w:num w:numId="14">
    <w:abstractNumId w:val="5"/>
  </w:num>
  <w:num w:numId="15">
    <w:abstractNumId w:val="16"/>
  </w:num>
  <w:num w:numId="16">
    <w:abstractNumId w:val="39"/>
  </w:num>
  <w:num w:numId="17">
    <w:abstractNumId w:val="29"/>
  </w:num>
  <w:num w:numId="18">
    <w:abstractNumId w:val="14"/>
  </w:num>
  <w:num w:numId="19">
    <w:abstractNumId w:val="22"/>
  </w:num>
  <w:num w:numId="20">
    <w:abstractNumId w:val="26"/>
  </w:num>
  <w:num w:numId="21">
    <w:abstractNumId w:val="31"/>
  </w:num>
  <w:num w:numId="22">
    <w:abstractNumId w:val="15"/>
  </w:num>
  <w:num w:numId="23">
    <w:abstractNumId w:val="33"/>
  </w:num>
  <w:num w:numId="24">
    <w:abstractNumId w:val="7"/>
  </w:num>
  <w:num w:numId="25">
    <w:abstractNumId w:val="18"/>
  </w:num>
  <w:num w:numId="26">
    <w:abstractNumId w:val="12"/>
  </w:num>
  <w:num w:numId="27">
    <w:abstractNumId w:val="32"/>
  </w:num>
  <w:num w:numId="28">
    <w:abstractNumId w:val="25"/>
  </w:num>
  <w:num w:numId="29">
    <w:abstractNumId w:val="3"/>
  </w:num>
  <w:num w:numId="30">
    <w:abstractNumId w:val="40"/>
  </w:num>
  <w:num w:numId="31">
    <w:abstractNumId w:val="2"/>
  </w:num>
  <w:num w:numId="32">
    <w:abstractNumId w:val="36"/>
  </w:num>
  <w:num w:numId="33">
    <w:abstractNumId w:val="42"/>
  </w:num>
  <w:num w:numId="34">
    <w:abstractNumId w:val="44"/>
  </w:num>
  <w:num w:numId="35">
    <w:abstractNumId w:val="6"/>
  </w:num>
  <w:num w:numId="36">
    <w:abstractNumId w:val="43"/>
  </w:num>
  <w:num w:numId="37">
    <w:abstractNumId w:val="41"/>
  </w:num>
  <w:num w:numId="38">
    <w:abstractNumId w:val="30"/>
  </w:num>
  <w:num w:numId="39">
    <w:abstractNumId w:val="27"/>
  </w:num>
  <w:num w:numId="40">
    <w:abstractNumId w:val="17"/>
  </w:num>
  <w:num w:numId="41">
    <w:abstractNumId w:val="0"/>
  </w:num>
  <w:num w:numId="42">
    <w:abstractNumId w:val="1"/>
  </w:num>
  <w:num w:numId="43">
    <w:abstractNumId w:val="9"/>
  </w:num>
  <w:num w:numId="44">
    <w:abstractNumId w:val="28"/>
  </w:num>
  <w:num w:numId="4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49F"/>
    <w:rsid w:val="0014721B"/>
    <w:rsid w:val="00150076"/>
    <w:rsid w:val="00150161"/>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D33"/>
    <w:rsid w:val="001A5FDB"/>
    <w:rsid w:val="001A6163"/>
    <w:rsid w:val="001A6328"/>
    <w:rsid w:val="001A69EF"/>
    <w:rsid w:val="001A7393"/>
    <w:rsid w:val="001A73BB"/>
    <w:rsid w:val="001B1B32"/>
    <w:rsid w:val="001B1EDB"/>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10731"/>
    <w:rsid w:val="0051292C"/>
    <w:rsid w:val="00513D09"/>
    <w:rsid w:val="0052511B"/>
    <w:rsid w:val="005271ED"/>
    <w:rsid w:val="005303B3"/>
    <w:rsid w:val="0053059E"/>
    <w:rsid w:val="0053093C"/>
    <w:rsid w:val="00530AC7"/>
    <w:rsid w:val="00530ECD"/>
    <w:rsid w:val="00532627"/>
    <w:rsid w:val="00532B15"/>
    <w:rsid w:val="00533C5E"/>
    <w:rsid w:val="005343DE"/>
    <w:rsid w:val="005344E0"/>
    <w:rsid w:val="005351B5"/>
    <w:rsid w:val="00536C9D"/>
    <w:rsid w:val="0053794A"/>
    <w:rsid w:val="00537B6C"/>
    <w:rsid w:val="00540C31"/>
    <w:rsid w:val="005422F1"/>
    <w:rsid w:val="005430CE"/>
    <w:rsid w:val="00543E90"/>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5374"/>
    <w:rsid w:val="006500D9"/>
    <w:rsid w:val="00651823"/>
    <w:rsid w:val="00651CD6"/>
    <w:rsid w:val="00651FA5"/>
    <w:rsid w:val="0065486F"/>
    <w:rsid w:val="0065519B"/>
    <w:rsid w:val="0065710B"/>
    <w:rsid w:val="00657920"/>
    <w:rsid w:val="00660EB9"/>
    <w:rsid w:val="00660F2D"/>
    <w:rsid w:val="0066162F"/>
    <w:rsid w:val="006633F3"/>
    <w:rsid w:val="0066522E"/>
    <w:rsid w:val="0066578F"/>
    <w:rsid w:val="00666425"/>
    <w:rsid w:val="0067034B"/>
    <w:rsid w:val="00670998"/>
    <w:rsid w:val="00670C15"/>
    <w:rsid w:val="00670D26"/>
    <w:rsid w:val="00673F54"/>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57EDF"/>
    <w:rsid w:val="00761690"/>
    <w:rsid w:val="00762769"/>
    <w:rsid w:val="0076329E"/>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57B1"/>
    <w:rsid w:val="007F6006"/>
    <w:rsid w:val="007F611C"/>
    <w:rsid w:val="007F618D"/>
    <w:rsid w:val="007F61D0"/>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201A"/>
    <w:rsid w:val="008326E2"/>
    <w:rsid w:val="00832DD5"/>
    <w:rsid w:val="008334FA"/>
    <w:rsid w:val="00833F7A"/>
    <w:rsid w:val="00834FAF"/>
    <w:rsid w:val="00837E7D"/>
    <w:rsid w:val="008405AC"/>
    <w:rsid w:val="008429FE"/>
    <w:rsid w:val="00843FAE"/>
    <w:rsid w:val="008468E6"/>
    <w:rsid w:val="0084762A"/>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3129D"/>
    <w:rsid w:val="00931C83"/>
    <w:rsid w:val="00935D40"/>
    <w:rsid w:val="009400D9"/>
    <w:rsid w:val="00941A2E"/>
    <w:rsid w:val="00942F90"/>
    <w:rsid w:val="00951769"/>
    <w:rsid w:val="00951ED5"/>
    <w:rsid w:val="00957CB5"/>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39DC"/>
    <w:rsid w:val="00A53AB1"/>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60D"/>
    <w:rsid w:val="00D124F9"/>
    <w:rsid w:val="00D14FF0"/>
    <w:rsid w:val="00D15811"/>
    <w:rsid w:val="00D15F6C"/>
    <w:rsid w:val="00D17449"/>
    <w:rsid w:val="00D22D0E"/>
    <w:rsid w:val="00D234F4"/>
    <w:rsid w:val="00D261E7"/>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7146"/>
    <w:rsid w:val="00D677D5"/>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FA0"/>
    <w:rsid w:val="00F9208A"/>
    <w:rsid w:val="00F923A6"/>
    <w:rsid w:val="00FA2EE0"/>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7</Pages>
  <Words>2633</Words>
  <Characters>15800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394</cp:revision>
  <cp:lastPrinted>2021-06-21T07:50:00Z</cp:lastPrinted>
  <dcterms:created xsi:type="dcterms:W3CDTF">2021-02-04T10:58:00Z</dcterms:created>
  <dcterms:modified xsi:type="dcterms:W3CDTF">2021-06-21T07:52:00Z</dcterms:modified>
</cp:coreProperties>
</file>